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b/>
          <w:sz w:val="44"/>
          <w:szCs w:val="44"/>
        </w:rPr>
      </w:pPr>
      <w:bookmarkStart w:id="0" w:name="_GoBack"/>
      <w:bookmarkEnd w:id="0"/>
      <w:r>
        <w:rPr>
          <w:rFonts w:hint="eastAsia" w:ascii="华文中宋" w:hAnsi="华文中宋" w:eastAsia="华文中宋"/>
          <w:b/>
          <w:sz w:val="44"/>
          <w:szCs w:val="44"/>
        </w:rPr>
        <w:t>2020年天津市知识产权战略实施工作总结</w:t>
      </w:r>
    </w:p>
    <w:p>
      <w:pPr>
        <w:ind w:firstLine="640" w:firstLineChars="200"/>
        <w:rPr>
          <w:rFonts w:ascii="仿宋" w:hAnsi="仿宋" w:eastAsia="仿宋"/>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在市委、市政府的高度重视和正确领导下，全市知识产权职能部门坚持以习近平新时代中国特色社会主义思想为指导，全面学习贯彻党的十九大和十九届二中、三中、四中、五中全会精神，深入贯彻落实习近平总书记对天津工作的重要指示批示精神，</w:t>
      </w:r>
      <w:r>
        <w:rPr>
          <w:rFonts w:hint="eastAsia" w:ascii="仿宋_GB2312" w:hAnsi="仿宋_GB2312" w:eastAsia="仿宋_GB2312" w:cs="仿宋_GB2312"/>
          <w:sz w:val="32"/>
          <w:szCs w:val="32"/>
          <w:lang w:eastAsia="zh-CN"/>
        </w:rPr>
        <w:t>对知识产权工作重要指示讲话精神，</w:t>
      </w:r>
      <w:r>
        <w:rPr>
          <w:rFonts w:hint="eastAsia" w:ascii="仿宋_GB2312" w:hAnsi="仿宋_GB2312" w:eastAsia="仿宋_GB2312" w:cs="仿宋_GB2312"/>
          <w:sz w:val="32"/>
          <w:szCs w:val="32"/>
        </w:rPr>
        <w:t>认真落实</w:t>
      </w:r>
      <w:r>
        <w:rPr>
          <w:rFonts w:hint="eastAsia" w:ascii="仿宋_GB2312" w:hAnsi="仿宋_GB2312" w:eastAsia="仿宋_GB2312" w:cs="仿宋_GB2312"/>
          <w:bCs/>
          <w:sz w:val="32"/>
          <w:szCs w:val="32"/>
        </w:rPr>
        <w:t>《天津市知识产权“十三五”规划》、《深入实施天津市知识产权战略行动计划（2016—2020年）》、《天津市严格知识产权保护实施方案（2018-2020年）》部署的各项重点任务，</w:t>
      </w:r>
      <w:r>
        <w:rPr>
          <w:rFonts w:hint="eastAsia" w:ascii="仿宋_GB2312" w:hAnsi="仿宋_GB2312" w:eastAsia="仿宋_GB2312" w:cs="仿宋_GB2312"/>
          <w:sz w:val="32"/>
          <w:szCs w:val="32"/>
        </w:rPr>
        <w:t>加快推进知识产权强市建设，全面提高</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知识产权创造、运用、保护能力和水平，</w:t>
      </w:r>
      <w:r>
        <w:rPr>
          <w:rFonts w:hint="eastAsia" w:ascii="仿宋_GB2312" w:hAnsi="仿宋_GB2312" w:eastAsia="仿宋_GB2312" w:cs="仿宋_GB2312"/>
          <w:sz w:val="32"/>
          <w:szCs w:val="32"/>
          <w:lang w:eastAsia="zh-CN"/>
        </w:rPr>
        <w:t>“十三五”规划圆满收官，</w:t>
      </w:r>
      <w:r>
        <w:rPr>
          <w:rFonts w:hint="eastAsia" w:ascii="仿宋_GB2312" w:hAnsi="仿宋_GB2312" w:eastAsia="仿宋_GB2312" w:cs="仿宋_GB2312"/>
          <w:sz w:val="32"/>
          <w:szCs w:val="32"/>
        </w:rPr>
        <w:t>为我市加快实现新旧动能转换</w:t>
      </w:r>
      <w:r>
        <w:rPr>
          <w:rFonts w:hint="eastAsia" w:ascii="仿宋_GB2312" w:hAnsi="仿宋_GB2312" w:eastAsia="仿宋_GB2312" w:cs="仿宋_GB2312"/>
          <w:sz w:val="32"/>
          <w:szCs w:val="32"/>
          <w:lang w:eastAsia="zh-CN"/>
        </w:rPr>
        <w:t>，经济社会</w:t>
      </w:r>
      <w:r>
        <w:rPr>
          <w:rFonts w:hint="eastAsia" w:ascii="仿宋_GB2312" w:hAnsi="仿宋_GB2312" w:eastAsia="仿宋_GB2312" w:cs="仿宋_GB2312"/>
          <w:sz w:val="32"/>
          <w:szCs w:val="32"/>
        </w:rPr>
        <w:t>高质量发展提供</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有力的知识产权支撑。</w:t>
      </w:r>
    </w:p>
    <w:p>
      <w:pPr>
        <w:ind w:firstLine="642" w:firstLineChars="200"/>
        <w:rPr>
          <w:rFonts w:hint="eastAsia" w:ascii="黑体" w:hAnsi="黑体" w:eastAsia="黑体"/>
          <w:b/>
          <w:sz w:val="32"/>
          <w:szCs w:val="32"/>
          <w:lang w:eastAsia="zh-CN"/>
        </w:rPr>
      </w:pPr>
      <w:r>
        <w:rPr>
          <w:rFonts w:hint="eastAsia" w:ascii="黑体" w:hAnsi="黑体" w:eastAsia="黑体"/>
          <w:b/>
          <w:sz w:val="32"/>
          <w:szCs w:val="32"/>
        </w:rPr>
        <w:t>一、扎实推进知识产权强市战略</w:t>
      </w:r>
      <w:r>
        <w:rPr>
          <w:rFonts w:hint="eastAsia" w:ascii="黑体" w:hAnsi="黑体" w:eastAsia="黑体"/>
          <w:b/>
          <w:sz w:val="32"/>
          <w:szCs w:val="32"/>
          <w:lang w:eastAsia="zh-CN"/>
        </w:rPr>
        <w:t>实施</w:t>
      </w:r>
    </w:p>
    <w:p>
      <w:pPr>
        <w:ind w:firstLine="629" w:firstLineChars="196"/>
        <w:rPr>
          <w:rFonts w:hint="eastAsia" w:ascii="仿宋_GB2312" w:hAnsi="仿宋_GB2312" w:eastAsia="仿宋_GB2312" w:cs="仿宋_GB2312"/>
          <w:sz w:val="32"/>
          <w:szCs w:val="32"/>
        </w:rPr>
      </w:pPr>
      <w:r>
        <w:rPr>
          <w:rFonts w:hint="eastAsia"/>
          <w:b/>
          <w:bCs/>
          <w:sz w:val="32"/>
          <w:szCs w:val="32"/>
        </w:rPr>
        <w:t>加强知识产权工作顶层设计。</w:t>
      </w:r>
      <w:r>
        <w:rPr>
          <w:rFonts w:hint="eastAsia" w:ascii="仿宋_GB2312" w:hAnsi="仿宋_GB2312" w:eastAsia="仿宋_GB2312" w:cs="仿宋_GB2312"/>
          <w:sz w:val="32"/>
          <w:szCs w:val="32"/>
        </w:rPr>
        <w:t>贯彻落实中办国办知识产权保护意见，研究起草了我市《关于强化知识产权保护的实施意见》和《2020-2021年天津市强化知识产权保护推进计划》，经</w:t>
      </w:r>
      <w:r>
        <w:rPr>
          <w:rFonts w:hint="eastAsia" w:ascii="仿宋_GB2312" w:hAnsi="仿宋_GB2312" w:eastAsia="仿宋_GB2312" w:cs="仿宋_GB2312"/>
          <w:sz w:val="32"/>
          <w:szCs w:val="32"/>
          <w:lang w:eastAsia="zh-CN"/>
        </w:rPr>
        <w:t>市政府常务会议和市委常委会议</w:t>
      </w:r>
      <w:r>
        <w:rPr>
          <w:rFonts w:hint="eastAsia" w:ascii="仿宋_GB2312" w:hAnsi="仿宋_GB2312" w:eastAsia="仿宋_GB2312" w:cs="仿宋_GB2312"/>
          <w:sz w:val="32"/>
          <w:szCs w:val="32"/>
          <w:lang w:val="en-US" w:eastAsia="zh-CN"/>
        </w:rPr>
        <w:t>审议</w:t>
      </w:r>
      <w:r>
        <w:rPr>
          <w:rFonts w:hint="eastAsia" w:ascii="仿宋_GB2312" w:hAnsi="仿宋_GB2312" w:eastAsia="仿宋_GB2312" w:cs="仿宋_GB2312"/>
          <w:sz w:val="32"/>
          <w:szCs w:val="32"/>
        </w:rPr>
        <w:t>通过，《关于强化知识产权保护的实施意见》以市委办公厅和市政府办公厅名义予以印发。组织召开全市知识产权战略领导小组扩大会议，部署年度知识产权工作，印发《2019年天津市知识产权战略实施工作总结》和《2020年天津市知识产权战略实施工作要点》，全面推进知识产权战略实施。召开2020年市政府知识产权新闻发布会，向全社会发布《2019年天津市知识产权发展状况白皮书》和《2019年天津市知识产权保护状况白皮书》，全面展示知识产权发展现状和知识产权保护取得的成效。</w:t>
      </w:r>
    </w:p>
    <w:p>
      <w:pPr>
        <w:ind w:firstLine="629" w:firstLineChars="196"/>
        <w:rPr>
          <w:bCs/>
          <w:sz w:val="32"/>
          <w:szCs w:val="32"/>
        </w:rPr>
      </w:pPr>
      <w:r>
        <w:rPr>
          <w:rFonts w:hint="eastAsia"/>
          <w:b/>
          <w:bCs/>
          <w:sz w:val="32"/>
          <w:szCs w:val="32"/>
        </w:rPr>
        <w:t>编制市知识产权“十四五”规划。</w:t>
      </w:r>
      <w:r>
        <w:rPr>
          <w:rFonts w:hint="eastAsia"/>
          <w:bCs/>
          <w:sz w:val="32"/>
          <w:szCs w:val="32"/>
        </w:rPr>
        <w:t>提早谋划 “十四五”规划总体思路，加强工作调研，找准我市“十四五”时期知识产权工作发力点，发挥市知识产权战略领导小组协调职能</w:t>
      </w:r>
      <w:r>
        <w:rPr>
          <w:rFonts w:hint="eastAsia"/>
          <w:bCs/>
          <w:sz w:val="32"/>
          <w:szCs w:val="32"/>
          <w:lang w:eastAsia="zh-CN"/>
        </w:rPr>
        <w:t>作用</w:t>
      </w:r>
      <w:r>
        <w:rPr>
          <w:rFonts w:hint="eastAsia"/>
          <w:bCs/>
          <w:sz w:val="32"/>
          <w:szCs w:val="32"/>
        </w:rPr>
        <w:t>，制定并印发了《天津市知识产权“十四五”规划编制工作方案》，研究编制《天津市知识产权“十四五”规划》</w:t>
      </w:r>
      <w:r>
        <w:rPr>
          <w:rFonts w:hint="eastAsia"/>
          <w:bCs/>
          <w:sz w:val="32"/>
          <w:szCs w:val="32"/>
          <w:lang w:eastAsia="zh-CN"/>
        </w:rPr>
        <w:t>，明确目标任务和重大工程</w:t>
      </w:r>
      <w:r>
        <w:rPr>
          <w:rFonts w:hint="eastAsia"/>
          <w:bCs/>
          <w:sz w:val="32"/>
          <w:szCs w:val="32"/>
        </w:rPr>
        <w:t>。</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积极推进知识产权强区建设</w:t>
      </w:r>
      <w:r>
        <w:rPr>
          <w:rFonts w:hint="eastAsia" w:ascii="仿宋_GB2312" w:hAnsi="仿宋_GB2312" w:eastAsia="仿宋_GB2312" w:cs="仿宋_GB2312"/>
          <w:sz w:val="32"/>
          <w:szCs w:val="32"/>
        </w:rPr>
        <w:t>。市知识产权局强化质量导向，制定出台并组织实施《市知识产权局关于知识产权强区建设的意见》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召开区域知识产权工作会、现场会等，建立领导班子成员协调联系区局制度，推进各区完善知识产权工作体系。滨海新区获批国家知识产权运营服务体系建设城市，获得中央财政专项资金1.5亿支持。滨海新区制定印发了《天津市滨海新区知识产权运营服务体系建设实施方案（2020-2023）》，组织</w:t>
      </w:r>
      <w:r>
        <w:rPr>
          <w:rFonts w:hint="eastAsia" w:ascii="仿宋_GB2312" w:hAnsi="仿宋_GB2312" w:eastAsia="仿宋_GB2312" w:cs="仿宋_GB2312"/>
          <w:bCs/>
          <w:sz w:val="32"/>
          <w:szCs w:val="32"/>
        </w:rPr>
        <w:t>开展知识产权金融服务和专利成果对接，提升知识产权运用效能，全力</w:t>
      </w:r>
      <w:r>
        <w:rPr>
          <w:rFonts w:hint="eastAsia" w:ascii="仿宋_GB2312" w:hAnsi="仿宋_GB2312" w:eastAsia="仿宋_GB2312" w:cs="仿宋_GB2312"/>
          <w:sz w:val="32"/>
          <w:szCs w:val="32"/>
        </w:rPr>
        <w:t>推进国家知识产权投融资试点城区建设。</w:t>
      </w:r>
    </w:p>
    <w:p>
      <w:pPr>
        <w:ind w:firstLine="642" w:firstLineChars="200"/>
        <w:rPr>
          <w:rFonts w:ascii="黑体" w:hAnsi="黑体" w:eastAsia="黑体" w:cs="楷体"/>
          <w:kern w:val="0"/>
          <w:sz w:val="32"/>
          <w:szCs w:val="32"/>
        </w:rPr>
      </w:pPr>
      <w:r>
        <w:rPr>
          <w:rFonts w:hint="eastAsia" w:ascii="黑体" w:hAnsi="黑体" w:eastAsia="黑体" w:cs="楷体"/>
          <w:b/>
          <w:bCs/>
          <w:sz w:val="32"/>
          <w:szCs w:val="32"/>
        </w:rPr>
        <w:t>二、实施最严格知识产权保护</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加强专利商标行政执法。</w:t>
      </w:r>
      <w:r>
        <w:rPr>
          <w:rFonts w:hint="eastAsia" w:ascii="仿宋_GB2312" w:hAnsi="仿宋_GB2312" w:eastAsia="仿宋_GB2312" w:cs="仿宋_GB2312"/>
          <w:sz w:val="32"/>
          <w:szCs w:val="32"/>
        </w:rPr>
        <w:t>市知识产权局制订出台《</w:t>
      </w:r>
      <w:r>
        <w:rPr>
          <w:rFonts w:hint="eastAsia" w:ascii="仿宋_GB2312" w:hAnsi="仿宋_GB2312" w:eastAsia="仿宋_GB2312" w:cs="仿宋_GB2312"/>
          <w:sz w:val="32"/>
          <w:szCs w:val="32"/>
          <w:lang w:eastAsia="zh-CN"/>
        </w:rPr>
        <w:t>关于落实</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天津市知识产权保护条例</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2020-2021年工作方案》，全面强化知识产权创造质量、保护效果、运用效益，全力提升管理水平和服务效能。印发《关于新型冠</w:t>
      </w:r>
      <w:r>
        <w:rPr>
          <w:rFonts w:hint="eastAsia" w:ascii="仿宋_GB2312" w:hAnsi="仿宋_GB2312" w:cs="仿宋_GB2312"/>
          <w:sz w:val="32"/>
          <w:szCs w:val="32"/>
          <w:lang w:val="en-US" w:eastAsia="zh-CN"/>
        </w:rPr>
        <w:t>状</w:t>
      </w:r>
      <w:r>
        <w:rPr>
          <w:rFonts w:hint="eastAsia" w:ascii="仿宋_GB2312" w:hAnsi="仿宋_GB2312" w:eastAsia="仿宋_GB2312" w:cs="仿宋_GB2312"/>
          <w:sz w:val="32"/>
          <w:szCs w:val="32"/>
        </w:rPr>
        <w:t>病毒感染肺炎疫情防控期间打击侵犯注册商标专用权违法行为的通知》和《市知识产权局关于做好2020年商标专用权保护工作的通知》，指导开展严厉打击疫情防控期间侵犯注册商标专用权违法行为。市场监管行政执法机构办结商标侵权案件立案270余件，罚没款1150万元。加强专利侵权纠纷调解工作，共接投诉举报20件，立案并调处30件，结案30件。市市场监管综合行政执法总队组织落实2020年天津市知识产权执法“铁拳”行动，全市累计开展执法行动近万次，出动执法人员3万余人次，立案41</w:t>
      </w:r>
      <w:r>
        <w:rPr>
          <w:rFonts w:hint="eastAsia" w:ascii="仿宋_GB2312" w:hAnsi="仿宋_GB2312" w:eastAsia="仿宋_GB2312" w:cs="仿宋_GB2312"/>
          <w:sz w:val="32"/>
          <w:szCs w:val="32"/>
          <w:lang w:val="en"/>
        </w:rPr>
        <w:t>7</w:t>
      </w:r>
      <w:r>
        <w:rPr>
          <w:rFonts w:hint="eastAsia" w:ascii="仿宋_GB2312" w:hAnsi="仿宋_GB2312" w:eastAsia="仿宋_GB2312" w:cs="仿宋_GB2312"/>
          <w:sz w:val="32"/>
          <w:szCs w:val="32"/>
        </w:rPr>
        <w:t>件，涉案金额6</w:t>
      </w:r>
      <w:r>
        <w:rPr>
          <w:rFonts w:hint="eastAsia" w:ascii="仿宋_GB2312" w:hAnsi="仿宋_GB2312" w:eastAsia="仿宋_GB2312" w:cs="仿宋_GB2312"/>
          <w:sz w:val="32"/>
          <w:szCs w:val="32"/>
          <w:lang w:val="en"/>
        </w:rPr>
        <w:t>68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9</w:t>
      </w:r>
      <w:r>
        <w:rPr>
          <w:rFonts w:hint="eastAsia" w:ascii="仿宋_GB2312" w:hAnsi="仿宋_GB2312" w:eastAsia="仿宋_GB2312" w:cs="仿宋_GB2312"/>
          <w:sz w:val="32"/>
          <w:szCs w:val="32"/>
        </w:rPr>
        <w:t>7万元，罚没款合计2</w:t>
      </w:r>
      <w:r>
        <w:rPr>
          <w:rFonts w:hint="eastAsia" w:ascii="仿宋_GB2312" w:hAnsi="仿宋_GB2312" w:eastAsia="仿宋_GB2312" w:cs="仿宋_GB2312"/>
          <w:sz w:val="32"/>
          <w:szCs w:val="32"/>
          <w:lang w:val="en"/>
        </w:rPr>
        <w:t>205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74</w:t>
      </w:r>
      <w:r>
        <w:rPr>
          <w:rFonts w:hint="eastAsia" w:ascii="仿宋_GB2312" w:hAnsi="仿宋_GB2312" w:eastAsia="仿宋_GB2312" w:cs="仿宋_GB2312"/>
          <w:sz w:val="32"/>
          <w:szCs w:val="32"/>
        </w:rPr>
        <w:t>万元，移送公安机关19件。通过“津云”等媒体共计曝光涉及知识产权的典型案例101件。</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强化版权保护力度。</w:t>
      </w:r>
      <w:r>
        <w:rPr>
          <w:rFonts w:hint="eastAsia" w:ascii="仿宋_GB2312" w:hAnsi="仿宋_GB2312" w:eastAsia="仿宋_GB2312" w:cs="仿宋_GB2312"/>
          <w:sz w:val="32"/>
          <w:szCs w:val="32"/>
        </w:rPr>
        <w:t>开展为期4个月的“剑网2020”专项行动，对我市51040家备案网摸底调查，查找出457家文化网络企业网站和18家许可数字出版的企业网站。文化执法部门共出动执法人员1174人次，开展网络巡查100家次、实地检查巡查356家次，约谈网络文化企业负责人30余人次，共查办网络侵权盗版行政案件12起，关闭6家网站，行政罚款13.2万余元。</w:t>
      </w:r>
      <w:r>
        <w:rPr>
          <w:rFonts w:hint="eastAsia" w:ascii="仿宋_GB2312" w:hAnsi="仿宋_GB2312" w:eastAsia="仿宋_GB2312" w:cs="仿宋_GB2312"/>
          <w:bCs/>
          <w:sz w:val="32"/>
          <w:szCs w:val="32"/>
        </w:rPr>
        <w:t xml:space="preserve">市文化和旅游局精心部署“双打”“剑网”等专项行动 </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 xml:space="preserve">全面加强市场监管 </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严厉打击侵犯著作权等违法违规行为。</w:t>
      </w:r>
      <w:r>
        <w:rPr>
          <w:rFonts w:hint="eastAsia" w:ascii="仿宋_GB2312" w:hAnsi="仿宋_GB2312" w:eastAsia="仿宋_GB2312" w:cs="仿宋_GB2312"/>
          <w:sz w:val="32"/>
          <w:szCs w:val="32"/>
        </w:rPr>
        <w:t xml:space="preserve">2020年出动执法人员2891人次 </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办结侵权盗版案件40起，收缴侵权盗版出版物共计4万余册。</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公安机关严厉打击侵犯知识产权犯罪。</w:t>
      </w:r>
      <w:r>
        <w:rPr>
          <w:rFonts w:hint="eastAsia" w:ascii="仿宋_GB2312" w:hAnsi="仿宋_GB2312" w:eastAsia="仿宋_GB2312" w:cs="仿宋_GB2312"/>
          <w:sz w:val="32"/>
          <w:szCs w:val="32"/>
        </w:rPr>
        <w:t>组织开展“昆仑2020”四号等专项行动，侦破侵权假冒知识产权犯罪案件425起，抓获犯罪嫌疑人564名，涉案金额累计3.1亿元，连续侦破“7.1”制售假冒品牌机油案、“9.26”制售假冒品牌火车元件案、“9.27”侵犯著作权案等一系列大要案件，对侵权假冒犯罪分子形成了强力震慑。立涉疫情制售假冒伪劣商品犯罪案件237起，破案178起，破案率75%，成功侦破津南哄抬物价销售口罩案等一系列利用疫情销售假冒伪劣防疫物资案件，为维护我市疫情防控特殊时期市场秩序的持续稳定、净化知识产权保护环境提供了有力保障。</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法院系统提升知识产权案件审判质量效率。</w:t>
      </w:r>
      <w:r>
        <w:rPr>
          <w:rFonts w:hint="eastAsia" w:ascii="仿宋_GB2312" w:hAnsi="仿宋_GB2312" w:eastAsia="仿宋_GB2312" w:cs="仿宋_GB2312"/>
          <w:sz w:val="32"/>
          <w:szCs w:val="32"/>
        </w:rPr>
        <w:t xml:space="preserve">2020年，全市法院新收知识产权民事、刑事、行政案件9079件，同比增长31.4%；审结8820件，同比增长37.9%。2件案件入选中国法院50件典型知识产权案件。天津知识产权法庭新收知识产权案件2336件，较2019年增长30.14%，其中包括天津市首例垄断纠纷、首例集成电路布图设计纠纷。新收专利权纠纷案件160件，较2019年增长29.98%。天津知识产权法庭与国家知识产权局专利审查协作（天津）中心签订合作协议，聘请覆盖11个技术领域的16名专利审查员作为技术调查官，有效提升技术类案件的审判质效。创新机制，主动延伸职能，出台《关于为创新驱动发展提供知识产权司法保障的若干意见》、《关于加强知识产权司法保护的实施意见》，提出40余项具体措施，打造知识产权保护高地，优化营商环境。 </w:t>
      </w:r>
    </w:p>
    <w:p>
      <w:pPr>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检察机关加强侵犯知识产权犯罪案件办理。</w:t>
      </w:r>
      <w:r>
        <w:rPr>
          <w:rFonts w:hint="eastAsia" w:ascii="仿宋_GB2312" w:hAnsi="仿宋_GB2312" w:eastAsia="仿宋_GB2312" w:cs="仿宋_GB2312"/>
          <w:bCs/>
          <w:sz w:val="32"/>
          <w:szCs w:val="32"/>
        </w:rPr>
        <w:t>全市检察机关针对侵犯知识产权和制售假冒伪劣商品类犯罪案件，批准逮捕103件179人；提起公诉178件385人；监督公安机关立案50件。天津市人民检察院第二分院成立天津首家知识产权刑事案件研究中心，与天津市知识产权保护中心、天津市版权局共同签署《知识产权刑事保护合作框架协议》，加强专业领域合作，形成保护知识产权的合力。</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海关执法有序推进。</w:t>
      </w:r>
      <w:r>
        <w:rPr>
          <w:rFonts w:hint="eastAsia" w:ascii="仿宋_GB2312" w:hAnsi="仿宋_GB2312" w:eastAsia="仿宋_GB2312" w:cs="仿宋_GB2312"/>
          <w:sz w:val="32"/>
          <w:szCs w:val="32"/>
        </w:rPr>
        <w:t>组织开展“龙腾”、“蓝网”、“净网”等专项行动，加强进出口环节知识产权执法。共对323个批次的进出口货物、物品采取知识产权海关保护措施，扣留涉嫌侵权货物81.22万件，扣留的侵权嫌疑货物案值486.26万元，查扣批次和数量分别较2019年</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rPr>
        <w:t>128.4%和35.6%。帮助天津世纪五矿进出口有限公司在宁波口岸截获侵犯“TJWELD”商标权砂轮片案，入选海关总署发布的“2019年全国海关知识产权典型案例”。充分运用“风险先导，精准打击”的查控工作模式，强化风险分析，提高查发侵权商品精准度。全年下达包含“核查侵权”查验要求的布控规则78件，对132批次的海运进出口商品启动了知识产权保护措施。</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市知识产权保护体系进一步完善。</w:t>
      </w:r>
      <w:r>
        <w:rPr>
          <w:rFonts w:hint="eastAsia" w:ascii="仿宋_GB2312" w:hAnsi="仿宋_GB2312" w:eastAsia="仿宋_GB2312" w:cs="仿宋_GB2312"/>
          <w:sz w:val="32"/>
          <w:szCs w:val="32"/>
        </w:rPr>
        <w:t>继2019年国家知识产权局批准建设中国（滨海新区）知识产权保护中心之后，中国（天津）知识产权保护中心于2020年获得国家知识产权局批准建设。市级、区级两个</w:t>
      </w:r>
      <w:r>
        <w:rPr>
          <w:rFonts w:hint="eastAsia" w:ascii="仿宋_GB2312" w:hAnsi="仿宋_GB2312" w:eastAsia="仿宋_GB2312" w:cs="仿宋_GB2312"/>
          <w:bCs/>
          <w:sz w:val="32"/>
          <w:szCs w:val="32"/>
        </w:rPr>
        <w:t>保护中心的建设将</w:t>
      </w:r>
      <w:r>
        <w:rPr>
          <w:rFonts w:hint="eastAsia" w:ascii="仿宋_GB2312" w:hAnsi="仿宋_GB2312" w:eastAsia="仿宋_GB2312" w:cs="仿宋_GB2312"/>
          <w:sz w:val="32"/>
          <w:szCs w:val="32"/>
        </w:rPr>
        <w:t>有效打通我市知识产权快审、快维绿色通道，进一步健全我市知识产权保护体系，有利于高端装备、生物医药、新一代信息技术、新材料、信创等产业一站式知识产权保护，有利于促进产业转型升级。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2020年4月国家知识产权局发布全国知识产权保护满意度调查结果，2019年天津知识产权保护满意度位居全国第8位，知识产权保护满意度在四个直辖市中位列第1位。</w:t>
      </w:r>
    </w:p>
    <w:p>
      <w:pPr>
        <w:ind w:firstLine="642" w:firstLineChars="200"/>
        <w:rPr>
          <w:rFonts w:ascii="黑体" w:hAnsi="黑体" w:eastAsia="黑体"/>
          <w:sz w:val="32"/>
          <w:szCs w:val="32"/>
        </w:rPr>
      </w:pPr>
      <w:r>
        <w:rPr>
          <w:rFonts w:hint="eastAsia" w:ascii="黑体" w:hAnsi="黑体" w:eastAsia="黑体" w:cs="楷体"/>
          <w:b/>
          <w:bCs/>
          <w:sz w:val="32"/>
          <w:szCs w:val="32"/>
        </w:rPr>
        <w:t>三、促进知识产权有效运用</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推进华北知识产权运营中心建设，提升中心运营能力。</w:t>
      </w:r>
      <w:r>
        <w:rPr>
          <w:rFonts w:hint="eastAsia" w:ascii="仿宋_GB2312" w:hAnsi="仿宋_GB2312" w:eastAsia="仿宋_GB2312" w:cs="仿宋_GB2312"/>
          <w:sz w:val="32"/>
          <w:szCs w:val="32"/>
          <w:lang w:eastAsia="zh-CN"/>
        </w:rPr>
        <w:t>进一步完善分中心布局，</w:t>
      </w:r>
      <w:r>
        <w:rPr>
          <w:rFonts w:hint="eastAsia" w:ascii="仿宋_GB2312" w:hAnsi="仿宋_GB2312" w:eastAsia="仿宋_GB2312" w:cs="仿宋_GB2312"/>
          <w:sz w:val="32"/>
          <w:szCs w:val="32"/>
          <w:lang w:val="en-US" w:eastAsia="zh-CN"/>
        </w:rPr>
        <w:t>2020年新增特色分中心4家。</w:t>
      </w:r>
      <w:r>
        <w:rPr>
          <w:rFonts w:hint="eastAsia" w:ascii="仿宋_GB2312" w:hAnsi="仿宋_GB2312" w:eastAsia="仿宋_GB2312" w:cs="仿宋_GB2312"/>
          <w:sz w:val="32"/>
          <w:szCs w:val="32"/>
        </w:rPr>
        <w:t>共开展业务1997笔，运营收入合同金额7364.55万元，共获得运营委托权专利数量47121件，共促成专利质押融资11100万元，开展专利评估56项。</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获批国家</w:t>
      </w:r>
      <w:r>
        <w:rPr>
          <w:rFonts w:hint="eastAsia" w:ascii="仿宋_GB2312" w:hAnsi="仿宋_GB2312" w:eastAsia="仿宋_GB2312" w:cs="仿宋_GB2312"/>
          <w:b/>
          <w:bCs/>
          <w:sz w:val="32"/>
          <w:szCs w:val="32"/>
        </w:rPr>
        <w:t>知识产权运营服务体系试点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和2020年先后指导东丽区、滨海新区获批国家知识产权运营服务体系试点城区，共获得国家财政3亿元专项资金支持，两区将在试点期内构建起规范化、市场化的知识产权运营服务体系，建立健全知识产权运用促进的制度规范，促进知识产权市场价值充分实现，进一步打通知识产权运营链条，促进平台、机构、资本、制造业和服务业等要素融合发展，推动知识产权运营与实体产业相互融合、相互支撑，有力支撑区域经济高质量发展。</w:t>
      </w:r>
    </w:p>
    <w:p>
      <w:pPr>
        <w:ind w:firstLine="642" w:firstLineChars="200"/>
        <w:rPr>
          <w:rFonts w:ascii="黑体" w:hAnsi="黑体" w:eastAsia="黑体"/>
          <w:b/>
          <w:sz w:val="32"/>
          <w:szCs w:val="32"/>
        </w:rPr>
      </w:pPr>
      <w:r>
        <w:rPr>
          <w:rFonts w:hint="eastAsia" w:ascii="黑体" w:hAnsi="黑体" w:eastAsia="黑体"/>
          <w:b/>
          <w:sz w:val="32"/>
          <w:szCs w:val="32"/>
        </w:rPr>
        <w:t>四、</w:t>
      </w:r>
      <w:r>
        <w:rPr>
          <w:rFonts w:hint="eastAsia" w:ascii="黑体" w:hAnsi="黑体" w:eastAsia="黑体" w:cs="楷体"/>
          <w:b/>
          <w:sz w:val="32"/>
          <w:szCs w:val="32"/>
        </w:rPr>
        <w:t>提升知识产权创造质量</w:t>
      </w:r>
    </w:p>
    <w:p>
      <w:pPr>
        <w:spacing w:line="600" w:lineRule="exact"/>
        <w:ind w:firstLine="803" w:firstLineChars="25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坚持自主创新，助推高质量发展。</w:t>
      </w:r>
      <w:r>
        <w:rPr>
          <w:rFonts w:hint="eastAsia" w:ascii="仿宋_GB2312" w:hAnsi="仿宋_GB2312" w:eastAsia="仿宋_GB2312" w:cs="仿宋_GB2312"/>
          <w:sz w:val="32"/>
          <w:szCs w:val="32"/>
        </w:rPr>
        <w:t>按照市打造自主创新重要源头和原始创新主要策源地工作要求，研究制定</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推动信创产业发展，助推自主创新和原始创新。推动中小企业创造工作，助推企业创新转型。统筹协调知识产权服务中小企业工作，出台市知识产权局健全支持中小企业</w:t>
      </w:r>
      <w:r>
        <w:rPr>
          <w:rFonts w:hint="eastAsia" w:ascii="仿宋_GB2312" w:hAnsi="仿宋_GB2312" w:eastAsia="仿宋_GB2312" w:cs="仿宋_GB2312"/>
          <w:sz w:val="32"/>
          <w:szCs w:val="32"/>
          <w:lang w:eastAsia="zh-CN"/>
        </w:rPr>
        <w:t>知识产权</w:t>
      </w:r>
      <w:r>
        <w:rPr>
          <w:rFonts w:hint="eastAsia" w:ascii="仿宋_GB2312" w:hAnsi="仿宋_GB2312" w:eastAsia="仿宋_GB2312" w:cs="仿宋_GB2312"/>
          <w:sz w:val="32"/>
          <w:szCs w:val="32"/>
        </w:rPr>
        <w:t>发展的工作举措，</w:t>
      </w:r>
      <w:r>
        <w:rPr>
          <w:rFonts w:hint="eastAsia" w:ascii="仿宋_GB2312" w:hAnsi="仿宋_GB2312" w:eastAsia="仿宋_GB2312" w:cs="仿宋_GB2312"/>
          <w:sz w:val="32"/>
          <w:szCs w:val="32"/>
          <w:lang w:eastAsia="zh-CN"/>
        </w:rPr>
        <w:t>培育建设</w:t>
      </w:r>
      <w:r>
        <w:rPr>
          <w:rFonts w:hint="eastAsia" w:ascii="仿宋_GB2312" w:hAnsi="仿宋_GB2312" w:eastAsia="仿宋_GB2312" w:cs="仿宋_GB2312"/>
          <w:sz w:val="32"/>
          <w:szCs w:val="32"/>
        </w:rPr>
        <w:t>知识产权特色小镇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制定发布实施《天津市知识产权特色小镇建设行动方案》，指导各区街镇加强知识产权工作，培育形成若干知识产权特色小镇。</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完善市区两级专利资助政策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强化质量效益导向，提升专利质量。加强中国专利奖和天津市专利奖对高价值核心专利的推荐和表彰，</w:t>
      </w:r>
      <w:r>
        <w:rPr>
          <w:rFonts w:hint="eastAsia" w:ascii="仿宋_GB2312" w:hAnsi="仿宋_GB2312" w:eastAsia="仿宋_GB2312" w:cs="仿宋_GB2312"/>
          <w:sz w:val="32"/>
          <w:szCs w:val="32"/>
          <w:lang w:val="en-US" w:eastAsia="zh-CN"/>
        </w:rPr>
        <w:t>第21届中国专利奖，</w:t>
      </w:r>
      <w:r>
        <w:rPr>
          <w:rFonts w:hint="eastAsia" w:ascii="仿宋_GB2312" w:hAnsi="仿宋_GB2312" w:eastAsia="仿宋_GB2312" w:cs="仿宋_GB2312"/>
          <w:sz w:val="32"/>
          <w:szCs w:val="32"/>
        </w:rPr>
        <w:t>天津专利权人</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获得金奖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项，优秀奖</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项，外观设计优秀奖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项。2020年，全市有效专利达到24.6万件，同比增长</w:t>
      </w:r>
      <w:r>
        <w:rPr>
          <w:rFonts w:hint="eastAsia" w:ascii="仿宋_GB2312" w:hAnsi="仿宋_GB2312" w:eastAsia="仿宋_GB2312" w:cs="仿宋_GB2312"/>
          <w:sz w:val="32"/>
          <w:szCs w:val="32"/>
          <w:lang w:val="en-US" w:eastAsia="zh-CN"/>
        </w:rPr>
        <w:t>23.4</w:t>
      </w:r>
      <w:r>
        <w:rPr>
          <w:rFonts w:hint="eastAsia" w:ascii="仿宋_GB2312" w:hAnsi="仿宋_GB2312" w:eastAsia="仿宋_GB2312" w:cs="仿宋_GB2312"/>
          <w:sz w:val="32"/>
          <w:szCs w:val="32"/>
        </w:rPr>
        <w:t>%，其中有效发明专利达到</w:t>
      </w:r>
      <w:r>
        <w:rPr>
          <w:rFonts w:hint="eastAsia" w:ascii="仿宋_GB2312" w:hAnsi="仿宋_GB2312" w:eastAsia="仿宋_GB2312" w:cs="仿宋_GB2312"/>
          <w:sz w:val="32"/>
          <w:szCs w:val="32"/>
          <w:lang w:val="en-US" w:eastAsia="zh-CN"/>
        </w:rPr>
        <w:t>38152</w:t>
      </w:r>
      <w:r>
        <w:rPr>
          <w:rFonts w:hint="eastAsia" w:ascii="仿宋_GB2312" w:hAnsi="仿宋_GB2312" w:eastAsia="仿宋_GB2312" w:cs="仿宋_GB2312"/>
          <w:sz w:val="32"/>
          <w:szCs w:val="32"/>
        </w:rPr>
        <w:t>件，同比增长</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%。全市每万人口发明专利拥有量达到</w:t>
      </w:r>
      <w:r>
        <w:rPr>
          <w:rFonts w:hint="eastAsia" w:ascii="仿宋_GB2312" w:hAnsi="仿宋_GB2312" w:eastAsia="仿宋_GB2312" w:cs="仿宋_GB2312"/>
          <w:sz w:val="32"/>
          <w:szCs w:val="32"/>
          <w:lang w:val="en-US" w:eastAsia="zh-CN"/>
        </w:rPr>
        <w:t>24.4</w:t>
      </w:r>
      <w:r>
        <w:rPr>
          <w:rFonts w:hint="eastAsia" w:ascii="仿宋_GB2312" w:hAnsi="仿宋_GB2312" w:eastAsia="仿宋_GB2312" w:cs="仿宋_GB2312"/>
          <w:sz w:val="32"/>
          <w:szCs w:val="32"/>
        </w:rPr>
        <w:t>件，净增</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件，居全国第六。累计有效注册商标达到28.9万件，同比增长</w:t>
      </w:r>
      <w:r>
        <w:rPr>
          <w:rFonts w:hint="eastAsia" w:ascii="仿宋_GB2312" w:hAnsi="仿宋_GB2312" w:eastAsia="仿宋_GB2312" w:cs="仿宋_GB2312"/>
          <w:sz w:val="32"/>
          <w:szCs w:val="32"/>
          <w:lang w:val="en-US" w:eastAsia="zh-CN"/>
        </w:rPr>
        <w:t>17.5</w:t>
      </w:r>
      <w:r>
        <w:rPr>
          <w:rFonts w:hint="eastAsia" w:ascii="仿宋_GB2312" w:hAnsi="仿宋_GB2312" w:eastAsia="仿宋_GB2312" w:cs="仿宋_GB2312"/>
          <w:sz w:val="32"/>
          <w:szCs w:val="32"/>
        </w:rPr>
        <w:t>%。作品著作权登记共计21.3万件，同比增长266.9%，总量位居全国第四。种子企业共获得授权植物新品种177个。</w:t>
      </w:r>
    </w:p>
    <w:p>
      <w:pPr>
        <w:ind w:firstLine="642" w:firstLineChars="200"/>
        <w:rPr>
          <w:rFonts w:hint="default" w:ascii="黑体" w:hAnsi="黑体" w:eastAsia="黑体"/>
          <w:b/>
          <w:sz w:val="32"/>
          <w:szCs w:val="32"/>
          <w:lang w:val="en-US" w:eastAsia="zh-CN"/>
        </w:rPr>
      </w:pPr>
      <w:r>
        <w:rPr>
          <w:rFonts w:hint="eastAsia" w:ascii="黑体" w:hAnsi="黑体" w:eastAsia="黑体"/>
          <w:b/>
          <w:sz w:val="32"/>
          <w:szCs w:val="32"/>
        </w:rPr>
        <w:t>五、</w:t>
      </w:r>
      <w:r>
        <w:rPr>
          <w:rFonts w:hint="eastAsia" w:ascii="黑体" w:hAnsi="黑体" w:eastAsia="黑体"/>
          <w:b/>
          <w:sz w:val="32"/>
          <w:szCs w:val="32"/>
          <w:lang w:eastAsia="zh-CN"/>
        </w:rPr>
        <w:t>知识产权助力防疫和复工复产</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知识产权助力</w:t>
      </w:r>
      <w:r>
        <w:rPr>
          <w:rFonts w:hint="eastAsia" w:ascii="仿宋_GB2312" w:hAnsi="仿宋_GB2312" w:eastAsia="仿宋_GB2312" w:cs="仿宋_GB2312"/>
          <w:b/>
          <w:sz w:val="32"/>
          <w:szCs w:val="32"/>
          <w:lang w:eastAsia="zh-CN"/>
        </w:rPr>
        <w:t>防疫和</w:t>
      </w:r>
      <w:r>
        <w:rPr>
          <w:rFonts w:hint="eastAsia" w:ascii="仿宋_GB2312" w:hAnsi="仿宋_GB2312" w:eastAsia="仿宋_GB2312" w:cs="仿宋_GB2312"/>
          <w:b/>
          <w:sz w:val="32"/>
          <w:szCs w:val="32"/>
        </w:rPr>
        <w:t>企业复工复产。</w:t>
      </w:r>
      <w:r>
        <w:rPr>
          <w:rFonts w:hint="eastAsia" w:ascii="仿宋_GB2312" w:hAnsi="仿宋_GB2312" w:eastAsia="仿宋_GB2312" w:cs="仿宋_GB2312"/>
          <w:bCs/>
          <w:sz w:val="32"/>
          <w:szCs w:val="32"/>
        </w:rPr>
        <w:t>疫情防控期间，市知识产权局</w:t>
      </w:r>
      <w:r>
        <w:rPr>
          <w:rFonts w:hint="eastAsia" w:ascii="仿宋_GB2312" w:hAnsi="仿宋_GB2312" w:eastAsia="仿宋_GB2312" w:cs="仿宋_GB2312"/>
          <w:sz w:val="32"/>
          <w:szCs w:val="32"/>
        </w:rPr>
        <w:t>出台支持复工复产企业高质量发展10条措施，成立8支服务队，深入企业一线，持续开展“总体+特色”</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lang w:val="en-US" w:eastAsia="zh-CN"/>
        </w:rPr>
        <w:t>+政策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上门服务，</w:t>
      </w:r>
      <w:r>
        <w:rPr>
          <w:rFonts w:hint="eastAsia" w:ascii="仿宋_GB2312" w:hAnsi="仿宋_GB2312" w:eastAsia="仿宋_GB2312" w:cs="仿宋_GB2312"/>
          <w:bCs/>
          <w:sz w:val="32"/>
          <w:szCs w:val="32"/>
        </w:rPr>
        <w:t>点对点帮扶企业</w:t>
      </w:r>
      <w:r>
        <w:rPr>
          <w:rFonts w:hint="eastAsia" w:ascii="仿宋_GB2312" w:hAnsi="仿宋_GB2312" w:eastAsia="仿宋_GB2312" w:cs="仿宋_GB2312"/>
          <w:bCs/>
          <w:sz w:val="32"/>
          <w:szCs w:val="32"/>
          <w:lang w:val="en"/>
        </w:rPr>
        <w:t>338</w:t>
      </w:r>
      <w:r>
        <w:rPr>
          <w:rFonts w:hint="eastAsia" w:ascii="仿宋_GB2312" w:hAnsi="仿宋_GB2312" w:eastAsia="仿宋_GB2312" w:cs="仿宋_GB2312"/>
          <w:bCs/>
          <w:sz w:val="32"/>
          <w:szCs w:val="32"/>
        </w:rPr>
        <w:t>家，</w:t>
      </w:r>
      <w:r>
        <w:rPr>
          <w:rFonts w:hint="eastAsia" w:ascii="仿宋_GB2312" w:hAnsi="仿宋_GB2312" w:eastAsia="仿宋_GB2312" w:cs="仿宋_GB2312"/>
          <w:sz w:val="32"/>
          <w:szCs w:val="32"/>
        </w:rPr>
        <w:t>解决企业提出的提高专利申请授权速度、专利实施运用、知识产权与资本融合以及企业商标注册和享受专利申请费用减免政策问题333个，减轻企业负担，助力企业复工复产。</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开展知识产权便利化服务。</w:t>
      </w:r>
      <w:r>
        <w:rPr>
          <w:rFonts w:hint="eastAsia" w:ascii="仿宋_GB2312" w:hAnsi="仿宋_GB2312" w:eastAsia="仿宋_GB2312" w:cs="仿宋_GB2312"/>
          <w:bCs/>
          <w:sz w:val="32"/>
          <w:szCs w:val="32"/>
        </w:rPr>
        <w:t>国家知识产权局天津专利代办处</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受理专利新申请</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万件，办理专利优先审查</w:t>
      </w:r>
      <w:r>
        <w:rPr>
          <w:rFonts w:hint="eastAsia" w:ascii="仿宋_GB2312" w:hAnsi="仿宋_GB2312" w:eastAsia="仿宋_GB2312" w:cs="仿宋_GB2312"/>
          <w:sz w:val="32"/>
          <w:szCs w:val="32"/>
          <w:lang w:val="en-US" w:eastAsia="zh-CN"/>
        </w:rPr>
        <w:t>495</w:t>
      </w:r>
      <w:r>
        <w:rPr>
          <w:rFonts w:hint="eastAsia" w:ascii="仿宋_GB2312" w:hAnsi="仿宋_GB2312" w:eastAsia="仿宋_GB2312" w:cs="仿宋_GB2312"/>
          <w:sz w:val="32"/>
          <w:szCs w:val="32"/>
        </w:rPr>
        <w:t>件；为</w:t>
      </w:r>
      <w:r>
        <w:rPr>
          <w:rFonts w:hint="eastAsia" w:ascii="仿宋_GB2312" w:hAnsi="仿宋_GB2312" w:eastAsia="仿宋_GB2312" w:cs="仿宋_GB2312"/>
          <w:sz w:val="32"/>
          <w:szCs w:val="32"/>
          <w:lang w:eastAsia="zh-CN"/>
        </w:rPr>
        <w:t>近万家</w:t>
      </w:r>
      <w:r>
        <w:rPr>
          <w:rFonts w:hint="eastAsia" w:ascii="仿宋_GB2312" w:hAnsi="仿宋_GB2312" w:eastAsia="仿宋_GB2312" w:cs="仿宋_GB2312"/>
          <w:sz w:val="32"/>
          <w:szCs w:val="32"/>
        </w:rPr>
        <w:t>企业减负1.5亿元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充分利用国家知识产权局支持在津设立8个商标受理窗口，开展申请商标、续展、转让、使用许可备案和马德里商标国际注册等24项业务，切实做到便利基层、便利企业、便利群众。国家知识产权局商标局商标巡回评审庭即将落户天津，方便商标申请人等当事人与商标审查员面对面沟通交流，加快提高商标审查质量和效率。</w:t>
      </w:r>
    </w:p>
    <w:p>
      <w:pPr>
        <w:ind w:firstLine="642" w:firstLineChars="200"/>
        <w:rPr>
          <w:rFonts w:ascii="黑体" w:hAnsi="黑体" w:eastAsia="黑体"/>
          <w:b/>
          <w:sz w:val="32"/>
          <w:szCs w:val="32"/>
        </w:rPr>
      </w:pPr>
      <w:r>
        <w:rPr>
          <w:rFonts w:hint="eastAsia" w:ascii="黑体" w:hAnsi="黑体" w:eastAsia="黑体"/>
          <w:b/>
          <w:sz w:val="32"/>
          <w:szCs w:val="32"/>
        </w:rPr>
        <w:t>六、提高知识产权管理效能优化发展环境</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促进知识产权服务业发展。</w:t>
      </w:r>
      <w:r>
        <w:rPr>
          <w:rFonts w:hint="eastAsia" w:ascii="仿宋_GB2312" w:hAnsi="仿宋_GB2312" w:eastAsia="仿宋_GB2312" w:cs="仿宋_GB2312"/>
          <w:sz w:val="32"/>
          <w:szCs w:val="32"/>
        </w:rPr>
        <w:t>完善天津知识产权服务体系，支持建立海外维权援助机构，进一步提升知识产权公共服务能力。加强商标受理窗口设施环境建设，优化商标受理业务，逐步提升商标申请注册服务水平。发挥国家知识产权局专利局审查协作天津中心优势，为天津重点产业、重点企业创新发展提供高端知识产权服务。完善天津知识产权公证服务中心建设，实现知识产权申报、使用、流转、维权全流程公证法律服务。加强对知识产权服务机构和从业人员的公益性培训和高端业务培训。规范专利代理行业执业行为，加强专利代理服务机构事中事后监管。建设知识产权公证法律服务的线上、线下平台，充分利用网站、微信、热线实现多手段、多平台服务。</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加强知识产权人才队伍建设。</w:t>
      </w:r>
      <w:r>
        <w:rPr>
          <w:rFonts w:hint="eastAsia" w:ascii="仿宋_GB2312" w:hAnsi="仿宋_GB2312" w:eastAsia="仿宋_GB2312" w:cs="仿宋_GB2312"/>
          <w:sz w:val="32"/>
          <w:szCs w:val="32"/>
        </w:rPr>
        <w:t>组织开展全市知识产权职称评审工作，</w:t>
      </w:r>
      <w:r>
        <w:rPr>
          <w:rFonts w:hint="eastAsia" w:ascii="仿宋_GB2312" w:hAnsi="仿宋_GB2312" w:eastAsia="仿宋_GB2312" w:cs="仿宋_GB2312"/>
          <w:color w:val="000000"/>
          <w:sz w:val="32"/>
          <w:szCs w:val="32"/>
        </w:rPr>
        <w:t>初审合格知识产权高级职称评审参评人员8人</w:t>
      </w:r>
      <w:r>
        <w:rPr>
          <w:rFonts w:hint="eastAsia" w:ascii="仿宋_GB2312" w:hAnsi="仿宋_GB2312" w:eastAsia="仿宋_GB2312" w:cs="仿宋_GB2312"/>
          <w:sz w:val="32"/>
          <w:szCs w:val="32"/>
        </w:rPr>
        <w:t>。组建我市知识产权专家智库，成立20名专家组成的</w:t>
      </w:r>
      <w:r>
        <w:rPr>
          <w:rFonts w:hint="eastAsia" w:ascii="仿宋_GB2312" w:hAnsi="仿宋_GB2312" w:eastAsia="仿宋_GB2312" w:cs="仿宋_GB2312"/>
          <w:color w:val="000000"/>
          <w:kern w:val="0"/>
          <w:sz w:val="32"/>
          <w:szCs w:val="32"/>
        </w:rPr>
        <w:t>市知识产权专家组、86名专家组成的知识产权保护专家库、</w:t>
      </w:r>
      <w:r>
        <w:rPr>
          <w:rFonts w:hint="eastAsia" w:ascii="仿宋_GB2312" w:hAnsi="仿宋_GB2312" w:eastAsia="仿宋_GB2312" w:cs="仿宋_GB2312"/>
          <w:color w:val="000000"/>
          <w:sz w:val="32"/>
          <w:szCs w:val="32"/>
        </w:rPr>
        <w:t>43名专家组成的知识产权评审专家库，</w:t>
      </w:r>
      <w:r>
        <w:rPr>
          <w:rFonts w:hint="eastAsia" w:ascii="仿宋_GB2312" w:hAnsi="仿宋_GB2312" w:eastAsia="仿宋_GB2312" w:cs="仿宋_GB2312"/>
          <w:color w:val="000000"/>
          <w:kern w:val="0"/>
          <w:sz w:val="32"/>
          <w:szCs w:val="32"/>
        </w:rPr>
        <w:t>为知识产权决策重大课题、知识产权保护和职称评审</w:t>
      </w:r>
      <w:r>
        <w:rPr>
          <w:rFonts w:hint="eastAsia" w:ascii="仿宋_GB2312" w:hAnsi="仿宋_GB2312" w:eastAsia="仿宋_GB2312" w:cs="仿宋_GB2312"/>
          <w:color w:val="000000"/>
          <w:sz w:val="32"/>
          <w:szCs w:val="32"/>
        </w:rPr>
        <w:t>提供人才支撑和保障</w:t>
      </w:r>
      <w:r>
        <w:rPr>
          <w:rFonts w:hint="eastAsia" w:ascii="仿宋_GB2312" w:hAnsi="仿宋_GB2312" w:eastAsia="仿宋_GB2312" w:cs="仿宋_GB2312"/>
          <w:color w:val="000000"/>
          <w:kern w:val="0"/>
          <w:sz w:val="32"/>
          <w:szCs w:val="32"/>
        </w:rPr>
        <w:t>。市教委推动高等院校开设知识产权相关课程，开展知识产权普及教育和专业教育，制定并实施全市中小学知识产权普及教育计划，将知识产权内容纳入中小学校本课程。</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营造良好知识产权社会氛围。</w:t>
      </w:r>
      <w:r>
        <w:rPr>
          <w:rFonts w:hint="eastAsia" w:ascii="仿宋_GB2312" w:hAnsi="仿宋_GB2312" w:eastAsia="仿宋_GB2312" w:cs="仿宋_GB2312"/>
          <w:sz w:val="32"/>
          <w:szCs w:val="32"/>
        </w:rPr>
        <w:t>利用“4.26世界知识产权日”、“中国专利周”、“12.4”普法宣传日、《天津市知识产权保护条例》宣贯等契机开展多形式、全覆盖的宣传活动，在全市营造浓郁的知识产权氛围。连续第</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举办天津市知识产权创新创业大赛，为中小企业、青年学生等提供以融媒体等多种形式的展示创新、创意、创造成果的平台，推动重点参赛、获奖项目实施转化，增强全社会知识产权意识，促进大众创业万众创新。全市相关媒体刊发知识产权工作宣传稿件500余篇，营造了</w:t>
      </w:r>
      <w:r>
        <w:rPr>
          <w:rFonts w:hint="eastAsia" w:ascii="仿宋_GB2312" w:hAnsi="仿宋_GB2312" w:eastAsia="仿宋_GB2312" w:cs="仿宋_GB2312"/>
          <w:sz w:val="32"/>
          <w:szCs w:val="32"/>
          <w:lang w:eastAsia="zh-CN"/>
        </w:rPr>
        <w:t>尊重知识、崇尚创新、诚信守法</w:t>
      </w:r>
      <w:r>
        <w:rPr>
          <w:rFonts w:hint="eastAsia" w:ascii="仿宋_GB2312" w:hAnsi="仿宋_GB2312" w:eastAsia="仿宋_GB2312" w:cs="仿宋_GB2312"/>
          <w:sz w:val="32"/>
          <w:szCs w:val="32"/>
        </w:rPr>
        <w:t>良好知识产权舆论环境。</w:t>
      </w: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02"/>
    <w:rsid w:val="001E6942"/>
    <w:rsid w:val="00281545"/>
    <w:rsid w:val="002A0C04"/>
    <w:rsid w:val="002C412C"/>
    <w:rsid w:val="002D0CA2"/>
    <w:rsid w:val="002F42E0"/>
    <w:rsid w:val="00384726"/>
    <w:rsid w:val="004D5775"/>
    <w:rsid w:val="004F470C"/>
    <w:rsid w:val="0054481F"/>
    <w:rsid w:val="005F4202"/>
    <w:rsid w:val="005F5F84"/>
    <w:rsid w:val="00623E52"/>
    <w:rsid w:val="006D0EBA"/>
    <w:rsid w:val="007A31D1"/>
    <w:rsid w:val="007D0932"/>
    <w:rsid w:val="007E04A7"/>
    <w:rsid w:val="008144ED"/>
    <w:rsid w:val="00906126"/>
    <w:rsid w:val="00A20647"/>
    <w:rsid w:val="00A363A1"/>
    <w:rsid w:val="00AB37EF"/>
    <w:rsid w:val="00AE743E"/>
    <w:rsid w:val="00B375CD"/>
    <w:rsid w:val="00D31624"/>
    <w:rsid w:val="00D46F1A"/>
    <w:rsid w:val="00D70407"/>
    <w:rsid w:val="00DA33BD"/>
    <w:rsid w:val="00DB4746"/>
    <w:rsid w:val="00DD1F72"/>
    <w:rsid w:val="00DE6FF5"/>
    <w:rsid w:val="00FA7577"/>
    <w:rsid w:val="00FD5D45"/>
    <w:rsid w:val="01CA0B7C"/>
    <w:rsid w:val="053E0A1A"/>
    <w:rsid w:val="0DD83E6F"/>
    <w:rsid w:val="1AAFA70C"/>
    <w:rsid w:val="1D662714"/>
    <w:rsid w:val="2DBE6DE9"/>
    <w:rsid w:val="30595900"/>
    <w:rsid w:val="3090609A"/>
    <w:rsid w:val="36DF5AC4"/>
    <w:rsid w:val="38A8585C"/>
    <w:rsid w:val="5BF966A8"/>
    <w:rsid w:val="5FFE99C2"/>
    <w:rsid w:val="635FC433"/>
    <w:rsid w:val="65C66972"/>
    <w:rsid w:val="6ECD6794"/>
    <w:rsid w:val="737BA72E"/>
    <w:rsid w:val="77E63BE2"/>
    <w:rsid w:val="7FFDB80B"/>
    <w:rsid w:val="7FFF0807"/>
    <w:rsid w:val="9FF1D693"/>
    <w:rsid w:val="B97E3392"/>
    <w:rsid w:val="BFBF17AB"/>
    <w:rsid w:val="C95F2AC1"/>
    <w:rsid w:val="CFCF7A8E"/>
    <w:rsid w:val="DECD65C2"/>
    <w:rsid w:val="EDEF380D"/>
    <w:rsid w:val="EDFFD236"/>
    <w:rsid w:val="EFD6E1E6"/>
    <w:rsid w:val="F2FB17D7"/>
    <w:rsid w:val="F8F2FC21"/>
    <w:rsid w:val="FEDB6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657</Words>
  <Characters>3745</Characters>
  <Lines>31</Lines>
  <Paragraphs>8</Paragraphs>
  <TotalTime>58</TotalTime>
  <ScaleCrop>false</ScaleCrop>
  <LinksUpToDate>false</LinksUpToDate>
  <CharactersWithSpaces>4394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2021-01-23T05:19:00Z</dcterms:created>
  <dc:creator>Lenovo</dc:creator>
  <cp:lastModifiedBy>scw</cp:lastModifiedBy>
  <cp:lastPrinted>2021-02-09T16:31:00Z</cp:lastPrinted>
  <dcterms:modified xsi:type="dcterms:W3CDTF">2021-04-07T10:29:04Z</dcterms:modified>
  <dc:title>附件1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A011EFA0B57A4C51B4585E60CC62A45B</vt:lpwstr>
  </property>
</Properties>
</file>